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521"/>
      </w:tblGrid>
      <w:tr w:rsidR="00E6727D" w:rsidRPr="00F118EB" w:rsidTr="00996136">
        <w:trPr>
          <w:trHeight w:val="437"/>
        </w:trPr>
        <w:tc>
          <w:tcPr>
            <w:tcW w:w="2977" w:type="dxa"/>
          </w:tcPr>
          <w:p w:rsidR="00E6727D" w:rsidRPr="00ED11D8" w:rsidRDefault="00E6727D" w:rsidP="00F80F45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</w:p>
          <w:p w:rsidR="00E6727D" w:rsidRPr="00593D3A" w:rsidRDefault="00E6727D" w:rsidP="00F80F45">
            <w:pPr>
              <w:rPr>
                <w:rFonts w:ascii="Calibri" w:hAnsi="Calibri"/>
                <w:b/>
                <w:bCs/>
                <w:color w:val="1F497D" w:themeColor="text2"/>
              </w:rPr>
            </w:pPr>
            <w:r w:rsidRPr="00593D3A">
              <w:rPr>
                <w:rFonts w:ascii="Calibri" w:hAnsi="Calibri"/>
                <w:b/>
                <w:bCs/>
                <w:color w:val="1F497D" w:themeColor="text2"/>
                <w:sz w:val="22"/>
                <w:szCs w:val="22"/>
              </w:rPr>
              <w:t xml:space="preserve">ACTION N° </w:t>
            </w:r>
            <w:r w:rsidR="00D652D3" w:rsidRPr="00593D3A">
              <w:rPr>
                <w:rFonts w:ascii="Calibri" w:hAnsi="Calibri"/>
                <w:b/>
                <w:bCs/>
                <w:color w:val="1F497D" w:themeColor="text2"/>
                <w:sz w:val="22"/>
                <w:szCs w:val="22"/>
              </w:rPr>
              <w:t>4</w:t>
            </w:r>
          </w:p>
          <w:p w:rsidR="00E6727D" w:rsidRPr="00ED11D8" w:rsidRDefault="00E6727D" w:rsidP="00F80F45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521" w:type="dxa"/>
          </w:tcPr>
          <w:p w:rsidR="00E6727D" w:rsidRPr="00ED11D8" w:rsidRDefault="00E6727D" w:rsidP="00F80F45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</w:p>
          <w:p w:rsidR="00E6727D" w:rsidRPr="0073070B" w:rsidRDefault="00D652D3" w:rsidP="00D652D3">
            <w:pPr>
              <w:rPr>
                <w:rFonts w:ascii="Calibri" w:hAnsi="Calibri"/>
                <w:b/>
                <w:bCs/>
                <w:caps/>
                <w:color w:val="002060"/>
                <w:sz w:val="16"/>
                <w:szCs w:val="16"/>
              </w:rPr>
            </w:pPr>
            <w:r w:rsidRPr="0073070B">
              <w:rPr>
                <w:rFonts w:ascii="Calibri" w:hAnsi="Calibri"/>
                <w:b/>
                <w:bCs/>
                <w:caps/>
                <w:color w:val="1F497D" w:themeColor="text2"/>
              </w:rPr>
              <w:t>"Participer à des projets culturels"</w:t>
            </w:r>
          </w:p>
        </w:tc>
      </w:tr>
      <w:tr w:rsidR="00E6727D" w:rsidRPr="00F118EB" w:rsidTr="00996136">
        <w:trPr>
          <w:trHeight w:val="345"/>
        </w:trPr>
        <w:tc>
          <w:tcPr>
            <w:tcW w:w="2977" w:type="dxa"/>
          </w:tcPr>
          <w:p w:rsidR="00E6727D" w:rsidRPr="00ED11D8" w:rsidRDefault="00E6727D" w:rsidP="00996136">
            <w:pPr>
              <w:jc w:val="left"/>
              <w:rPr>
                <w:rFonts w:ascii="Calibri" w:hAnsi="Calibri" w:cs="Calibri"/>
                <w:b/>
                <w:bCs/>
                <w:color w:val="002060"/>
              </w:rPr>
            </w:pPr>
            <w:r w:rsidRPr="009745ED">
              <w:rPr>
                <w:rFonts w:ascii="Calibri" w:hAnsi="Calibri" w:cs="Calibri"/>
                <w:b/>
                <w:bCs/>
                <w:sz w:val="22"/>
                <w:szCs w:val="22"/>
              </w:rPr>
              <w:t>Responsable du projet</w:t>
            </w:r>
          </w:p>
        </w:tc>
        <w:tc>
          <w:tcPr>
            <w:tcW w:w="6521" w:type="dxa"/>
          </w:tcPr>
          <w:p w:rsidR="0087496A" w:rsidRPr="00320A90" w:rsidRDefault="00D652D3" w:rsidP="00F80F45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Conseillère ESF</w:t>
            </w:r>
          </w:p>
        </w:tc>
      </w:tr>
      <w:tr w:rsidR="008360DE" w:rsidRPr="008C4DB7" w:rsidTr="00996136">
        <w:trPr>
          <w:trHeight w:val="288"/>
        </w:trPr>
        <w:tc>
          <w:tcPr>
            <w:tcW w:w="2977" w:type="dxa"/>
          </w:tcPr>
          <w:p w:rsidR="008360DE" w:rsidRPr="009745ED" w:rsidRDefault="008360DE" w:rsidP="00F80F45">
            <w:pPr>
              <w:jc w:val="left"/>
              <w:rPr>
                <w:rFonts w:ascii="Calibri" w:hAnsi="Calibri" w:cs="Calibr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9745ED">
              <w:rPr>
                <w:rFonts w:ascii="Calibri" w:hAnsi="Calibri" w:cs="Calibri"/>
                <w:b/>
                <w:sz w:val="22"/>
                <w:szCs w:val="22"/>
              </w:rPr>
              <w:t>Présentation d</w:t>
            </w:r>
            <w:r w:rsidR="0071306C">
              <w:rPr>
                <w:rFonts w:ascii="Calibri" w:hAnsi="Calibri" w:cs="Calibri"/>
                <w:b/>
                <w:sz w:val="22"/>
                <w:szCs w:val="22"/>
              </w:rPr>
              <w:t>u projet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320A90" w:rsidRPr="00996136" w:rsidRDefault="00AD28B6" w:rsidP="00F80F45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Repérer les groupes d’usagers du centre social, les associations de Claix pouvant être sensibles et intéressés par des rencontres et sorties culturelles. Les mettre en interaction afin de programmer </w:t>
            </w:r>
            <w:r w:rsidR="0073070B">
              <w:rPr>
                <w:rFonts w:asciiTheme="minorHAnsi" w:hAnsiTheme="minorHAnsi"/>
                <w:sz w:val="22"/>
                <w:szCs w:val="22"/>
              </w:rPr>
              <w:t>des sorties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utilisant les programmations locales (Déclic, concerts </w:t>
            </w:r>
            <w:r w:rsidR="0073070B">
              <w:rPr>
                <w:rFonts w:asciiTheme="minorHAnsi" w:hAnsiTheme="minorHAnsi"/>
                <w:sz w:val="22"/>
                <w:szCs w:val="22"/>
              </w:rPr>
              <w:t>locaux...),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 la Métropole (</w:t>
            </w:r>
            <w:r w:rsidR="0073070B">
              <w:rPr>
                <w:rFonts w:asciiTheme="minorHAnsi" w:hAnsiTheme="minorHAnsi"/>
                <w:sz w:val="22"/>
                <w:szCs w:val="22"/>
              </w:rPr>
              <w:t>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usée, match, concerts, visites </w:t>
            </w:r>
            <w:r w:rsidR="0073070B">
              <w:rPr>
                <w:rFonts w:asciiTheme="minorHAnsi" w:hAnsiTheme="minorHAnsi"/>
                <w:sz w:val="22"/>
                <w:szCs w:val="22"/>
              </w:rPr>
              <w:t>guidées...</w:t>
            </w:r>
            <w:r>
              <w:rPr>
                <w:rFonts w:asciiTheme="minorHAnsi" w:hAnsiTheme="minorHAnsi"/>
                <w:sz w:val="22"/>
                <w:szCs w:val="22"/>
              </w:rPr>
              <w:t>). Une mutualisation des inscriptions et des modes de transport pouvant être centralisés au centre</w:t>
            </w:r>
            <w:r w:rsidR="00320A9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social.</w:t>
            </w:r>
          </w:p>
        </w:tc>
      </w:tr>
      <w:tr w:rsidR="00E6727D" w:rsidRPr="00F118EB" w:rsidTr="00996136">
        <w:trPr>
          <w:trHeight w:val="1277"/>
        </w:trPr>
        <w:tc>
          <w:tcPr>
            <w:tcW w:w="2977" w:type="dxa"/>
          </w:tcPr>
          <w:p w:rsidR="00E6727D" w:rsidRPr="009745ED" w:rsidRDefault="00E6727D" w:rsidP="00F80F45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9745ED">
              <w:rPr>
                <w:rFonts w:ascii="Calibri" w:hAnsi="Calibri" w:cs="Calibri"/>
                <w:b/>
                <w:bCs/>
                <w:sz w:val="22"/>
                <w:szCs w:val="22"/>
              </w:rPr>
              <w:t>Eléments de contexte, d’analyse et constats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E6727D" w:rsidRPr="00D75CB8" w:rsidRDefault="002E1DBC" w:rsidP="00EF0694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La répartition de la population sur le Territoire de Claix étant marquée par </w:t>
            </w:r>
            <w:r w:rsidR="00AD28B6">
              <w:rPr>
                <w:rFonts w:asciiTheme="minorHAnsi" w:hAnsiTheme="minorHAnsi"/>
              </w:rPr>
              <w:t>une répartition des âges différente selon les</w:t>
            </w:r>
            <w:r>
              <w:rPr>
                <w:rFonts w:asciiTheme="minorHAnsi" w:hAnsiTheme="minorHAnsi"/>
              </w:rPr>
              <w:t xml:space="preserve"> </w:t>
            </w:r>
            <w:r w:rsidR="00AD28B6">
              <w:rPr>
                <w:rFonts w:asciiTheme="minorHAnsi" w:hAnsiTheme="minorHAnsi"/>
              </w:rPr>
              <w:t>quartiers, faire</w:t>
            </w:r>
            <w:r>
              <w:rPr>
                <w:rFonts w:asciiTheme="minorHAnsi" w:hAnsiTheme="minorHAnsi"/>
              </w:rPr>
              <w:t xml:space="preserve"> émaner des projets culturels variés peut </w:t>
            </w:r>
            <w:r w:rsidR="00AD28B6">
              <w:rPr>
                <w:rFonts w:asciiTheme="minorHAnsi" w:hAnsiTheme="minorHAnsi"/>
              </w:rPr>
              <w:t>contribuer à s’ouvrir à l’intergénérationnel.</w:t>
            </w:r>
            <w:bookmarkStart w:id="0" w:name="_GoBack"/>
            <w:bookmarkEnd w:id="0"/>
          </w:p>
        </w:tc>
      </w:tr>
      <w:tr w:rsidR="001F18BB" w:rsidRPr="00F118EB" w:rsidTr="00996136">
        <w:trPr>
          <w:trHeight w:val="708"/>
        </w:trPr>
        <w:tc>
          <w:tcPr>
            <w:tcW w:w="2977" w:type="dxa"/>
          </w:tcPr>
          <w:p w:rsidR="001F18BB" w:rsidRDefault="001F18BB" w:rsidP="001F18BB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Modalités de fonctionnement 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320A90" w:rsidRPr="009A68FE" w:rsidRDefault="00D94589" w:rsidP="00276E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Groupe en semi autonomie pour être garant de la variété des projets mis en place afin de toucher un public varié en âge, intérêt culturel et source de rencontres.</w:t>
            </w:r>
          </w:p>
        </w:tc>
      </w:tr>
      <w:tr w:rsidR="001F18BB" w:rsidRPr="00F118EB" w:rsidTr="00996136">
        <w:trPr>
          <w:trHeight w:val="485"/>
        </w:trPr>
        <w:tc>
          <w:tcPr>
            <w:tcW w:w="2977" w:type="dxa"/>
          </w:tcPr>
          <w:p w:rsidR="001F18BB" w:rsidRPr="009745ED" w:rsidRDefault="001F18BB" w:rsidP="001F18BB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9745ED">
              <w:rPr>
                <w:rFonts w:ascii="Calibri" w:hAnsi="Calibri" w:cs="Calibri"/>
                <w:b/>
                <w:bCs/>
                <w:sz w:val="22"/>
                <w:szCs w:val="22"/>
              </w:rPr>
              <w:t>Public concern</w:t>
            </w:r>
            <w:r w:rsidR="00996136">
              <w:rPr>
                <w:rFonts w:ascii="Calibri" w:hAnsi="Calibri" w:cs="Calibri"/>
                <w:b/>
                <w:bCs/>
                <w:sz w:val="22"/>
                <w:szCs w:val="22"/>
              </w:rPr>
              <w:t>é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1F18BB" w:rsidRPr="00D75CB8" w:rsidRDefault="00276E91" w:rsidP="001F18BB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Tout public claixois</w:t>
            </w:r>
          </w:p>
        </w:tc>
      </w:tr>
      <w:tr w:rsidR="001F18BB" w:rsidRPr="00F118EB" w:rsidTr="00996136">
        <w:trPr>
          <w:trHeight w:val="582"/>
        </w:trPr>
        <w:tc>
          <w:tcPr>
            <w:tcW w:w="2977" w:type="dxa"/>
          </w:tcPr>
          <w:p w:rsidR="001F18BB" w:rsidRDefault="00E21D46" w:rsidP="001F18BB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Déroulement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D94589" w:rsidRDefault="00D94589" w:rsidP="00D9458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Repérer des évènements </w:t>
            </w:r>
            <w:r w:rsidR="00360982">
              <w:rPr>
                <w:rFonts w:asciiTheme="minorHAnsi" w:hAnsiTheme="minorHAnsi"/>
                <w:sz w:val="22"/>
                <w:szCs w:val="22"/>
              </w:rPr>
              <w:t xml:space="preserve">pluridisciplinaires </w:t>
            </w:r>
            <w:r>
              <w:rPr>
                <w:rFonts w:asciiTheme="minorHAnsi" w:hAnsiTheme="minorHAnsi"/>
                <w:sz w:val="22"/>
                <w:szCs w:val="22"/>
              </w:rPr>
              <w:t>servant d’exemple.</w:t>
            </w:r>
          </w:p>
          <w:p w:rsidR="00D94589" w:rsidRDefault="00D94589" w:rsidP="00D9458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Réunir les publics du repas partage, Zeybu2claix, aiguilles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enchan’thé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accompagnement à la </w:t>
            </w:r>
            <w:r w:rsidR="00E61BF2">
              <w:rPr>
                <w:rFonts w:asciiTheme="minorHAnsi" w:hAnsiTheme="minorHAnsi"/>
                <w:sz w:val="22"/>
                <w:szCs w:val="22"/>
              </w:rPr>
              <w:t>scolarité,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public rencontré dans les quartiers,  école de musique, </w:t>
            </w:r>
            <w:r w:rsidR="00E61BF2">
              <w:rPr>
                <w:rFonts w:asciiTheme="minorHAnsi" w:hAnsiTheme="minorHAnsi"/>
                <w:sz w:val="22"/>
                <w:szCs w:val="22"/>
              </w:rPr>
              <w:t>MJC</w:t>
            </w:r>
            <w:r>
              <w:rPr>
                <w:rFonts w:asciiTheme="minorHAnsi" w:hAnsiTheme="minorHAnsi"/>
                <w:sz w:val="22"/>
                <w:szCs w:val="22"/>
              </w:rPr>
              <w:t>…..</w:t>
            </w:r>
          </w:p>
          <w:p w:rsidR="00D94589" w:rsidRDefault="00D94589" w:rsidP="00D9458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Initier une participation à l’élaboration d’un programme semestriel.</w:t>
            </w:r>
          </w:p>
          <w:p w:rsidR="00320A90" w:rsidRPr="00996136" w:rsidRDefault="00D94589" w:rsidP="00D9458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Inciter à la prise de responsabilité dans l’organisation.</w:t>
            </w:r>
          </w:p>
        </w:tc>
      </w:tr>
      <w:tr w:rsidR="001F18BB" w:rsidRPr="00F118EB" w:rsidTr="00996136">
        <w:trPr>
          <w:trHeight w:val="420"/>
        </w:trPr>
        <w:tc>
          <w:tcPr>
            <w:tcW w:w="2977" w:type="dxa"/>
          </w:tcPr>
          <w:p w:rsidR="001F18BB" w:rsidRPr="009745ED" w:rsidRDefault="001F18BB" w:rsidP="001F18BB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9745ED">
              <w:rPr>
                <w:rFonts w:ascii="Calibri" w:hAnsi="Calibri" w:cs="Calibri"/>
                <w:b/>
                <w:bCs/>
                <w:sz w:val="22"/>
                <w:szCs w:val="22"/>
              </w:rPr>
              <w:t>Points forts</w:t>
            </w:r>
          </w:p>
        </w:tc>
        <w:tc>
          <w:tcPr>
            <w:tcW w:w="6521" w:type="dxa"/>
          </w:tcPr>
          <w:p w:rsidR="00320A90" w:rsidRPr="00D75CB8" w:rsidRDefault="00D94589" w:rsidP="00255277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 culture, vecteur de rencontres et partage.</w:t>
            </w:r>
          </w:p>
        </w:tc>
      </w:tr>
      <w:tr w:rsidR="001F18BB" w:rsidRPr="00F118EB" w:rsidTr="00996136">
        <w:trPr>
          <w:trHeight w:val="411"/>
        </w:trPr>
        <w:tc>
          <w:tcPr>
            <w:tcW w:w="2977" w:type="dxa"/>
          </w:tcPr>
          <w:p w:rsidR="001F18BB" w:rsidRPr="009745ED" w:rsidRDefault="001F18BB" w:rsidP="001F18BB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9745ED">
              <w:rPr>
                <w:rFonts w:ascii="Calibri" w:hAnsi="Calibri" w:cs="Calibri"/>
                <w:b/>
                <w:bCs/>
                <w:sz w:val="22"/>
                <w:szCs w:val="22"/>
              </w:rPr>
              <w:t>Points faibles</w:t>
            </w:r>
          </w:p>
        </w:tc>
        <w:tc>
          <w:tcPr>
            <w:tcW w:w="6521" w:type="dxa"/>
          </w:tcPr>
          <w:p w:rsidR="00320A90" w:rsidRPr="00D75CB8" w:rsidRDefault="00D94589" w:rsidP="00D9458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Risque de prise d’initiative et participation des personnes dynamiques déjà connues et repérées dans les différents groupes et associations</w:t>
            </w:r>
          </w:p>
        </w:tc>
      </w:tr>
      <w:tr w:rsidR="001F18BB" w:rsidRPr="00F118EB" w:rsidTr="00996136">
        <w:trPr>
          <w:trHeight w:val="849"/>
        </w:trPr>
        <w:tc>
          <w:tcPr>
            <w:tcW w:w="2977" w:type="dxa"/>
          </w:tcPr>
          <w:p w:rsidR="001F18BB" w:rsidRPr="009745ED" w:rsidRDefault="001F18BB" w:rsidP="001F18BB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9745E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Partenaires </w:t>
            </w:r>
          </w:p>
        </w:tc>
        <w:tc>
          <w:tcPr>
            <w:tcW w:w="6521" w:type="dxa"/>
          </w:tcPr>
          <w:p w:rsidR="00320A90" w:rsidRPr="00433062" w:rsidRDefault="000B272E" w:rsidP="001F18BB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Référent de l’accompagnement à la scolarité, </w:t>
            </w:r>
            <w:r w:rsidR="00D94589">
              <w:rPr>
                <w:rFonts w:asciiTheme="minorHAnsi" w:hAnsiTheme="minorHAnsi"/>
              </w:rPr>
              <w:t>Associations Claixoises, service Culture de la Mairie</w:t>
            </w:r>
            <w:r>
              <w:rPr>
                <w:rFonts w:asciiTheme="minorHAnsi" w:hAnsiTheme="minorHAnsi"/>
              </w:rPr>
              <w:t xml:space="preserve">, </w:t>
            </w:r>
            <w:r w:rsidR="00996136">
              <w:rPr>
                <w:rFonts w:asciiTheme="minorHAnsi" w:hAnsiTheme="minorHAnsi"/>
              </w:rPr>
              <w:t>Médiathèque, service</w:t>
            </w:r>
            <w:r>
              <w:rPr>
                <w:rFonts w:asciiTheme="minorHAnsi" w:hAnsiTheme="minorHAnsi"/>
              </w:rPr>
              <w:t xml:space="preserve"> Education</w:t>
            </w:r>
          </w:p>
        </w:tc>
      </w:tr>
      <w:tr w:rsidR="001F18BB" w:rsidRPr="00F118EB" w:rsidTr="00996136">
        <w:trPr>
          <w:trHeight w:val="849"/>
        </w:trPr>
        <w:tc>
          <w:tcPr>
            <w:tcW w:w="2977" w:type="dxa"/>
          </w:tcPr>
          <w:p w:rsidR="001F18BB" w:rsidRPr="009745ED" w:rsidRDefault="001F18BB" w:rsidP="001F18BB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9745ED">
              <w:rPr>
                <w:rFonts w:ascii="Calibri" w:hAnsi="Calibri" w:cs="Calibri"/>
                <w:b/>
                <w:bCs/>
                <w:sz w:val="22"/>
                <w:szCs w:val="22"/>
              </w:rPr>
              <w:t>Estimation de la faisabilité technique</w:t>
            </w:r>
          </w:p>
          <w:p w:rsidR="001F18BB" w:rsidRPr="009745ED" w:rsidRDefault="001F18BB" w:rsidP="001F18BB">
            <w:pPr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21" w:type="dxa"/>
          </w:tcPr>
          <w:p w:rsidR="001F18BB" w:rsidRDefault="001F18BB" w:rsidP="001F18BB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33062">
              <w:rPr>
                <w:rFonts w:asciiTheme="minorHAnsi" w:hAnsiTheme="minorHAnsi"/>
                <w:sz w:val="22"/>
                <w:szCs w:val="22"/>
              </w:rPr>
              <w:t>Locaux du centre social</w:t>
            </w:r>
            <w:r w:rsidR="000B272E">
              <w:rPr>
                <w:rFonts w:asciiTheme="minorHAnsi" w:hAnsiTheme="minorHAnsi"/>
                <w:sz w:val="22"/>
                <w:szCs w:val="22"/>
              </w:rPr>
              <w:t>, mise à disposition des documents d’information et informatique du centre social.</w:t>
            </w:r>
          </w:p>
          <w:p w:rsidR="00320A90" w:rsidRPr="00996136" w:rsidRDefault="000B272E" w:rsidP="001F18BB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Emprunt de véhicule mairie</w:t>
            </w:r>
          </w:p>
        </w:tc>
      </w:tr>
      <w:tr w:rsidR="001F18BB" w:rsidRPr="00F118EB" w:rsidTr="00996136">
        <w:trPr>
          <w:cantSplit/>
          <w:trHeight w:val="436"/>
        </w:trPr>
        <w:tc>
          <w:tcPr>
            <w:tcW w:w="2977" w:type="dxa"/>
            <w:tcBorders>
              <w:bottom w:val="single" w:sz="4" w:space="0" w:color="auto"/>
            </w:tcBorders>
          </w:tcPr>
          <w:p w:rsidR="001F18BB" w:rsidRPr="009745ED" w:rsidRDefault="001F18BB" w:rsidP="001F18BB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9745ED">
              <w:rPr>
                <w:rFonts w:ascii="Calibri" w:hAnsi="Calibri" w:cs="Calibri"/>
                <w:b/>
                <w:bCs/>
                <w:sz w:val="22"/>
                <w:szCs w:val="22"/>
              </w:rPr>
              <w:t>Estimation de la faisabilité financière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1F18BB" w:rsidRDefault="001F18BB" w:rsidP="001F18BB">
            <w:pPr>
              <w:tabs>
                <w:tab w:val="left" w:pos="915"/>
              </w:tabs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433062">
              <w:rPr>
                <w:rFonts w:asciiTheme="minorHAnsi" w:hAnsiTheme="minorHAnsi"/>
                <w:bCs/>
                <w:sz w:val="22"/>
                <w:szCs w:val="22"/>
              </w:rPr>
              <w:t>Cout des intervenants</w:t>
            </w:r>
            <w:r w:rsidR="000B272E">
              <w:rPr>
                <w:rFonts w:asciiTheme="minorHAnsi" w:hAnsiTheme="minorHAnsi"/>
                <w:bCs/>
                <w:sz w:val="22"/>
                <w:szCs w:val="22"/>
              </w:rPr>
              <w:t xml:space="preserve"> s’il y a lieu</w:t>
            </w:r>
          </w:p>
          <w:p w:rsidR="000B272E" w:rsidRDefault="000B272E" w:rsidP="001F18BB">
            <w:pPr>
              <w:tabs>
                <w:tab w:val="left" w:pos="915"/>
              </w:tabs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Participation au transport</w:t>
            </w:r>
          </w:p>
          <w:p w:rsidR="00320A90" w:rsidRPr="00996136" w:rsidRDefault="000B272E" w:rsidP="001F18BB">
            <w:pPr>
              <w:tabs>
                <w:tab w:val="left" w:pos="915"/>
              </w:tabs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Participation au coût de l’entrée selon quotient familial.</w:t>
            </w:r>
          </w:p>
        </w:tc>
      </w:tr>
      <w:tr w:rsidR="001F18BB" w:rsidRPr="00F118EB" w:rsidTr="00996136">
        <w:trPr>
          <w:trHeight w:val="4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8BB" w:rsidRPr="009745ED" w:rsidRDefault="001F18BB" w:rsidP="001F18BB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9745ED">
              <w:rPr>
                <w:rFonts w:ascii="Calibri" w:hAnsi="Calibri" w:cs="Calibri"/>
                <w:b/>
                <w:bCs/>
                <w:sz w:val="22"/>
                <w:szCs w:val="22"/>
              </w:rPr>
              <w:t>Calendrier prévisionnel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BB" w:rsidRDefault="00360982" w:rsidP="001F18BB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Sollicitation par mail mi-septembre</w:t>
            </w:r>
          </w:p>
          <w:p w:rsidR="00360982" w:rsidRDefault="00360982" w:rsidP="001F18BB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Réunion début octobre</w:t>
            </w:r>
          </w:p>
          <w:p w:rsidR="00320A90" w:rsidRPr="00433062" w:rsidRDefault="00360982" w:rsidP="001F18BB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Calendrier de 6 à 8 événements annuels pluridisciplinaires, afin de toucher des publics variés.</w:t>
            </w:r>
          </w:p>
        </w:tc>
      </w:tr>
      <w:tr w:rsidR="00996136" w:rsidRPr="00F118EB" w:rsidTr="00996136">
        <w:trPr>
          <w:trHeight w:val="4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36" w:rsidRPr="009745ED" w:rsidRDefault="00996136" w:rsidP="00996136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8349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Impacts internes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8349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externes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attendus</w:t>
            </w:r>
            <w:r w:rsidRPr="008349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36" w:rsidRDefault="00996136" w:rsidP="00996136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A66682">
              <w:rPr>
                <w:rFonts w:ascii="Calibri" w:hAnsi="Calibri"/>
                <w:sz w:val="22"/>
                <w:szCs w:val="22"/>
              </w:rPr>
              <w:t xml:space="preserve">Accueil </w:t>
            </w:r>
            <w:r>
              <w:rPr>
                <w:rFonts w:ascii="Calibri" w:hAnsi="Calibri"/>
                <w:sz w:val="22"/>
                <w:szCs w:val="22"/>
              </w:rPr>
              <w:t>et rencontre d’usagers de différents quartiers</w:t>
            </w:r>
          </w:p>
          <w:p w:rsidR="00996136" w:rsidRPr="00A66682" w:rsidRDefault="00996136" w:rsidP="00996136"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Mixité sociale et d’âge</w:t>
            </w:r>
          </w:p>
          <w:p w:rsidR="00996136" w:rsidRPr="00320A90" w:rsidRDefault="00996136" w:rsidP="00996136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33062">
              <w:rPr>
                <w:rFonts w:asciiTheme="minorHAnsi" w:hAnsiTheme="minorHAnsi"/>
                <w:sz w:val="22"/>
                <w:szCs w:val="22"/>
              </w:rPr>
              <w:t xml:space="preserve">Connaissance du centre social </w:t>
            </w:r>
          </w:p>
        </w:tc>
      </w:tr>
      <w:tr w:rsidR="00996136" w:rsidRPr="00F118EB" w:rsidTr="00996136">
        <w:trPr>
          <w:trHeight w:val="4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36" w:rsidRPr="009745ED" w:rsidRDefault="00996136" w:rsidP="00996136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9745ED">
              <w:rPr>
                <w:rFonts w:ascii="Calibri" w:hAnsi="Calibri" w:cs="Calibri"/>
                <w:b/>
                <w:bCs/>
                <w:sz w:val="22"/>
                <w:szCs w:val="22"/>
              </w:rPr>
              <w:t>Mode d’évaluation</w:t>
            </w:r>
          </w:p>
          <w:p w:rsidR="00996136" w:rsidRPr="009745ED" w:rsidRDefault="00996136" w:rsidP="00996136">
            <w:pPr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36" w:rsidRDefault="00996136" w:rsidP="00996136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Nombre de participants au groupe d’élaboration</w:t>
            </w:r>
          </w:p>
          <w:p w:rsidR="00996136" w:rsidRDefault="00996136" w:rsidP="00996136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Nombre de participants aux événements</w:t>
            </w:r>
          </w:p>
          <w:p w:rsidR="00996136" w:rsidRPr="00D75CB8" w:rsidRDefault="00996136" w:rsidP="00996136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Reconduction du projet</w:t>
            </w:r>
          </w:p>
        </w:tc>
      </w:tr>
      <w:tr w:rsidR="00996136" w:rsidRPr="00F118EB" w:rsidTr="00996136">
        <w:trPr>
          <w:trHeight w:val="4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36" w:rsidRPr="009745ED" w:rsidRDefault="00996136" w:rsidP="00996136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9745ED">
              <w:rPr>
                <w:rFonts w:ascii="Calibri" w:hAnsi="Calibri" w:cs="Calibri"/>
                <w:b/>
                <w:bCs/>
                <w:sz w:val="22"/>
                <w:szCs w:val="22"/>
              </w:rPr>
              <w:t>Perspectives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36" w:rsidRPr="00D75CB8" w:rsidRDefault="00996136" w:rsidP="00996136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 travers d’un intérêt culturel, toucher un public nouveau au centre social.</w:t>
            </w:r>
          </w:p>
        </w:tc>
      </w:tr>
    </w:tbl>
    <w:p w:rsidR="002A42A3" w:rsidRDefault="002A42A3" w:rsidP="00917824">
      <w:pPr>
        <w:jc w:val="both"/>
      </w:pPr>
    </w:p>
    <w:sectPr w:rsidR="002A42A3" w:rsidSect="00E6727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20AEE"/>
    <w:multiLevelType w:val="hybridMultilevel"/>
    <w:tmpl w:val="A0D80D8A"/>
    <w:lvl w:ilvl="0" w:tplc="B70CB9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24F"/>
    <w:rsid w:val="00014A01"/>
    <w:rsid w:val="00090132"/>
    <w:rsid w:val="000B272E"/>
    <w:rsid w:val="001241CD"/>
    <w:rsid w:val="001F18BB"/>
    <w:rsid w:val="00255277"/>
    <w:rsid w:val="00276E91"/>
    <w:rsid w:val="002A42A3"/>
    <w:rsid w:val="002B272B"/>
    <w:rsid w:val="002E1DBC"/>
    <w:rsid w:val="002E2FFA"/>
    <w:rsid w:val="002F1494"/>
    <w:rsid w:val="00313CF6"/>
    <w:rsid w:val="00320A90"/>
    <w:rsid w:val="00360982"/>
    <w:rsid w:val="00376A70"/>
    <w:rsid w:val="00387C9E"/>
    <w:rsid w:val="003B5A0A"/>
    <w:rsid w:val="003C510D"/>
    <w:rsid w:val="004363EA"/>
    <w:rsid w:val="00577527"/>
    <w:rsid w:val="00593D3A"/>
    <w:rsid w:val="005B076B"/>
    <w:rsid w:val="0071306C"/>
    <w:rsid w:val="0073070B"/>
    <w:rsid w:val="007F2E58"/>
    <w:rsid w:val="00813016"/>
    <w:rsid w:val="008360DE"/>
    <w:rsid w:val="008571AF"/>
    <w:rsid w:val="0087496A"/>
    <w:rsid w:val="00917824"/>
    <w:rsid w:val="00940936"/>
    <w:rsid w:val="009745ED"/>
    <w:rsid w:val="00977459"/>
    <w:rsid w:val="0099333E"/>
    <w:rsid w:val="00996136"/>
    <w:rsid w:val="009A68FE"/>
    <w:rsid w:val="009C2116"/>
    <w:rsid w:val="009E4E03"/>
    <w:rsid w:val="00AD28B6"/>
    <w:rsid w:val="00B63F2B"/>
    <w:rsid w:val="00B70092"/>
    <w:rsid w:val="00C1624F"/>
    <w:rsid w:val="00CC4B48"/>
    <w:rsid w:val="00CF0E34"/>
    <w:rsid w:val="00D652D3"/>
    <w:rsid w:val="00D94589"/>
    <w:rsid w:val="00E21D46"/>
    <w:rsid w:val="00E56291"/>
    <w:rsid w:val="00E61BF2"/>
    <w:rsid w:val="00E6727D"/>
    <w:rsid w:val="00ED11D8"/>
    <w:rsid w:val="00EF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00B52-0079-4AA1-8FAA-2878F6CE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727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CLAIX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CHARRA Anna</dc:creator>
  <cp:lastModifiedBy>Hugo Faillettaz</cp:lastModifiedBy>
  <cp:revision>19</cp:revision>
  <dcterms:created xsi:type="dcterms:W3CDTF">2019-08-06T13:24:00Z</dcterms:created>
  <dcterms:modified xsi:type="dcterms:W3CDTF">2019-09-08T13:36:00Z</dcterms:modified>
</cp:coreProperties>
</file>