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96"/>
        <w:tblW w:w="10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993"/>
        <w:gridCol w:w="4536"/>
        <w:gridCol w:w="923"/>
      </w:tblGrid>
      <w:tr w:rsidR="00B66FF2" w:rsidRPr="009B2549" w:rsidTr="006D2E23">
        <w:trPr>
          <w:trHeight w:val="733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Arial Narrow" w:eastAsia="Times New Roman" w:hAnsi="Arial Narrow" w:cs="Arial"/>
                <w:b/>
                <w:bCs/>
                <w:color w:val="366092"/>
                <w:sz w:val="36"/>
                <w:szCs w:val="48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 w:val="36"/>
                <w:szCs w:val="48"/>
                <w:lang w:eastAsia="fr-FR"/>
              </w:rPr>
              <w:t xml:space="preserve">Budget prévisionnel </w:t>
            </w:r>
            <w:r w:rsidRPr="009B2549">
              <w:rPr>
                <w:rFonts w:ascii="Arial Narrow" w:eastAsia="Times New Roman" w:hAnsi="Arial Narrow" w:cs="Arial"/>
                <w:b/>
                <w:bCs/>
                <w:color w:val="FF0000"/>
                <w:sz w:val="36"/>
                <w:szCs w:val="48"/>
                <w:lang w:eastAsia="fr-FR"/>
              </w:rPr>
              <w:t xml:space="preserve">annualisé </w:t>
            </w: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 w:val="36"/>
                <w:szCs w:val="48"/>
                <w:lang w:eastAsia="fr-FR"/>
              </w:rPr>
              <w:t xml:space="preserve">de l’action </w:t>
            </w:r>
          </w:p>
          <w:p w:rsidR="009B2549" w:rsidRDefault="009B2549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lang w:eastAsia="fr-FR"/>
              </w:rPr>
              <w:t>2 budgets sont à renseigner en cas d’action sur 2 ans</w:t>
            </w:r>
            <w:r w:rsidR="00A15722">
              <w:rPr>
                <w:rFonts w:ascii="Arial Narrow" w:eastAsia="Times New Roman" w:hAnsi="Arial Narrow" w:cs="Arial"/>
                <w:b/>
                <w:bCs/>
                <w:color w:val="FF0000"/>
                <w:sz w:val="24"/>
                <w:lang w:eastAsia="fr-FR"/>
              </w:rPr>
              <w:t xml:space="preserve"> = 2 documents distincts</w:t>
            </w:r>
          </w:p>
          <w:p w:rsidR="002D0F85" w:rsidRDefault="002D0F85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</w:pPr>
          </w:p>
          <w:p w:rsidR="002D0F85" w:rsidRPr="00DA4217" w:rsidRDefault="002D0F85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</w:pPr>
            <w:r w:rsidRPr="00DA4217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 xml:space="preserve">Nom du porteur : </w:t>
            </w:r>
            <w:r w:rsidR="0090634B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 xml:space="preserve">Syndicat Intercommunal du </w:t>
            </w:r>
            <w:proofErr w:type="spellStart"/>
            <w:r w:rsidR="0090634B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>Candéen</w:t>
            </w:r>
            <w:proofErr w:type="spellEnd"/>
          </w:p>
          <w:p w:rsidR="002D0F85" w:rsidRPr="00DA4217" w:rsidRDefault="002D0F85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</w:pPr>
          </w:p>
          <w:p w:rsidR="002D0F85" w:rsidRDefault="002D0F85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</w:pPr>
            <w:r w:rsidRPr="00DA4217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>Intitulé de l’action :</w:t>
            </w:r>
            <w:r w:rsidR="00D93533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 xml:space="preserve"> </w:t>
            </w:r>
            <w:proofErr w:type="spellStart"/>
            <w:r w:rsidR="00D93533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>Après midi</w:t>
            </w:r>
            <w:proofErr w:type="spellEnd"/>
            <w:r w:rsidR="00D93533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 xml:space="preserve"> détente</w:t>
            </w:r>
          </w:p>
          <w:p w:rsidR="00D93533" w:rsidRDefault="00D93533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</w:pPr>
          </w:p>
          <w:p w:rsidR="009B2549" w:rsidRDefault="009B2549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</w:pPr>
            <w:r w:rsidRPr="00DA4217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>Période visée </w:t>
            </w:r>
            <w:r w:rsidR="00DA4217" w:rsidRPr="00DA4217">
              <w:rPr>
                <w:rFonts w:ascii="Arial Narrow" w:eastAsia="Times New Roman" w:hAnsi="Arial Narrow" w:cs="Arial"/>
                <w:bCs/>
                <w:i/>
                <w:color w:val="833C0B" w:themeColor="accent2" w:themeShade="80"/>
                <w:sz w:val="24"/>
                <w:lang w:eastAsia="fr-FR"/>
              </w:rPr>
              <w:t>(Cocher)</w:t>
            </w:r>
            <w:r w:rsidR="00DA4217">
              <w:rPr>
                <w:rFonts w:ascii="Arial Narrow" w:eastAsia="Times New Roman" w:hAnsi="Arial Narrow" w:cs="Arial"/>
                <w:b/>
                <w:bCs/>
                <w:color w:val="833C0B" w:themeColor="accent2" w:themeShade="80"/>
                <w:sz w:val="24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  <w:t xml:space="preserve">: De septembre 2019 à fin août 2020 </w:t>
            </w:r>
            <w:r w:rsidR="0090634B"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  <w:sym w:font="Wingdings" w:char="F078"/>
            </w:r>
            <w:r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  <w:t xml:space="preserve">      </w:t>
            </w: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color w:val="366092"/>
                <w:sz w:val="40"/>
                <w:szCs w:val="40"/>
                <w:lang w:eastAsia="fr-FR"/>
              </w:rPr>
              <w:t xml:space="preserve">   </w:t>
            </w:r>
            <w:r w:rsidR="00A8432D">
              <w:rPr>
                <w:rFonts w:ascii="Arial Narrow" w:eastAsia="Times New Roman" w:hAnsi="Arial Narrow" w:cs="Arial"/>
                <w:b/>
                <w:bCs/>
                <w:color w:val="366092"/>
                <w:sz w:val="40"/>
                <w:szCs w:val="40"/>
                <w:lang w:eastAsia="fr-FR"/>
              </w:rPr>
              <w:t xml:space="preserve">    </w:t>
            </w:r>
            <w:r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  <w:t xml:space="preserve">De septembre 2020 à fin août 2021 </w:t>
            </w:r>
            <w:r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  <w:sym w:font="Wingdings" w:char="F0A8"/>
            </w:r>
          </w:p>
          <w:p w:rsidR="00A8432D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366092"/>
                <w:sz w:val="24"/>
                <w:lang w:eastAsia="fr-FR"/>
              </w:rPr>
            </w:pPr>
          </w:p>
        </w:tc>
      </w:tr>
      <w:tr w:rsidR="009B2549" w:rsidRPr="009B2549" w:rsidTr="006D2E23">
        <w:trPr>
          <w:cantSplit/>
          <w:trHeight w:val="4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09"/>
              <w:jc w:val="center"/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  <w:t>CHARGES</w:t>
            </w:r>
            <w:r w:rsidR="002D0F85"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  <w:t xml:space="preserve"> </w:t>
            </w:r>
            <w:r w:rsidR="002D0F85" w:rsidRPr="002D0F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vertAlign w:val="superscript"/>
                <w:lang w:eastAsia="fr-FR"/>
              </w:rPr>
              <w:t>(1)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MONTANT PREV.</w:t>
            </w:r>
            <w:r w:rsidR="00B66FF2"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(1)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09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szCs w:val="18"/>
                <w:lang w:eastAsia="fr-FR"/>
              </w:rPr>
              <w:t xml:space="preserve">PRODUITS </w:t>
            </w:r>
            <w:r w:rsidRPr="009B254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vertAlign w:val="superscript"/>
                <w:lang w:eastAsia="fr-FR"/>
              </w:rPr>
              <w:t>(1)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MONTANT PREV.</w:t>
            </w:r>
            <w:r w:rsidR="00B66FF2"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(1)</w:t>
            </w:r>
          </w:p>
        </w:tc>
      </w:tr>
      <w:tr w:rsidR="009B2549" w:rsidRPr="009B2549" w:rsidTr="006D2E23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7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  <w:t>60 - Achat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D93533" w:rsidRDefault="009B2549" w:rsidP="00D9353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  <w:t>70 - Vente de produits finis, prestations de services, marchandises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D93533" w:rsidRDefault="009B2549" w:rsidP="00D9353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64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Prestations de services </w:t>
            </w:r>
          </w:p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64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150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Participation financière  éventuelle des usagers : 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D9353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6D2E23">
        <w:trPr>
          <w:trHeight w:val="537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64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Achats matières et fournitures 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350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  <w:t>74- Subventions d’exploitation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D9353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64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Etat: (précisez le(s) ministère(s) sollicité(s)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870529">
        <w:trPr>
          <w:trHeight w:val="276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7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  <w:t>61 - Services extérieurs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120" w:line="340" w:lineRule="exact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Conférence des financeurs du Maine-et-Loire :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6D2E23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fr-FR"/>
              </w:rPr>
              <w:t>2380</w:t>
            </w:r>
            <w:bookmarkStart w:id="0" w:name="_GoBack"/>
            <w:bookmarkEnd w:id="0"/>
          </w:p>
        </w:tc>
      </w:tr>
      <w:tr w:rsidR="009B2549" w:rsidRPr="009B2549" w:rsidTr="00870529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Locations (salles, véhicules…)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Région(s):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870529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trike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450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Département (s)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870529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trike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Divers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Commune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-</w:t>
            </w: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 </w:t>
            </w:r>
            <w:r w:rsidR="009B2549"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Intercommunalité ( EPCI)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870529">
        <w:trPr>
          <w:trHeight w:val="32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Centre communal ou intercommunal d’action sociale (CCAS ou CIAS)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870529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62 - Autres services extérieurs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CARSAT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1400</w:t>
            </w:r>
          </w:p>
        </w:tc>
      </w:tr>
      <w:tr w:rsidR="009B2549" w:rsidRPr="009B2549" w:rsidTr="00870529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Rémunérations intermédiaires et honoraires 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500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MSA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9B2549" w:rsidRPr="009B2549" w:rsidTr="00870529">
        <w:trPr>
          <w:trHeight w:val="299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Publicité, communication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9B2549" w:rsidRPr="006D2E23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150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B2549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AGIRC-ARRCO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549" w:rsidRPr="009B2549" w:rsidRDefault="009B2549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92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Déplacements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150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307736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SSI (Sécurité sociale des indépendants)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412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 xml:space="preserve">64- Charges de personnel </w:t>
            </w: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(Rémunération et charges)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307736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Agence Régionale de Santé (ARS)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A8432D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Temps de préparation dédié à l’action</w:t>
            </w:r>
            <w:r w:rsidRPr="009B2549">
              <w:rPr>
                <w:rFonts w:ascii="Arial Narrow" w:eastAsia="Times New Roman" w:hAnsi="Arial Narrow" w:cs="Times New Roman"/>
                <w:lang w:eastAsia="fr-FR"/>
              </w:rPr>
              <w:t> </w:t>
            </w:r>
            <w:r w:rsidR="00A8432D">
              <w:rPr>
                <w:rFonts w:ascii="Arial Narrow" w:eastAsia="Times New Roman" w:hAnsi="Arial Narrow" w:cs="Times New Roman"/>
                <w:color w:val="FF0000"/>
                <w:lang w:eastAsia="fr-FR"/>
              </w:rPr>
              <w:t>*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380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03492" w:rsidRPr="009B2549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Autres recettes (</w:t>
            </w: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précisez)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A8432D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Temps d’animation dédié à l’action </w:t>
            </w:r>
            <w:r w:rsidR="00A8432D" w:rsidRPr="00A8432D">
              <w:rPr>
                <w:rFonts w:ascii="Arial Narrow" w:eastAsia="Times New Roman" w:hAnsi="Arial Narrow" w:cs="Arial"/>
                <w:color w:val="FF0000"/>
                <w:lang w:eastAsia="fr-FR"/>
              </w:rPr>
              <w:t>*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1450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75 - Autres produits de gestion courante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A8432D" w:rsidRDefault="00A8432D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eastAsia="Times New Roman" w:hAnsi="Arial Narrow" w:cs="Arial"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  </w:t>
            </w:r>
            <w:r w:rsidR="00603492"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 xml:space="preserve">Temps d’évaluation dédié à l’action </w:t>
            </w:r>
            <w:r w:rsidRPr="00A8432D">
              <w:rPr>
                <w:rFonts w:ascii="Arial Narrow" w:eastAsia="Times New Roman" w:hAnsi="Arial Narrow" w:cs="Arial"/>
                <w:color w:val="FF0000"/>
                <w:lang w:eastAsia="fr-FR"/>
              </w:rPr>
              <w:t>*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200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Dont cotisations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76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87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65- Autres charges de gestion courante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6D2E23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76 - Produits financiers</w:t>
            </w: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77 - Produits exceptionnels</w:t>
            </w: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76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64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Autres charges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78 – Reprises sur amortissements et provisions</w:t>
            </w: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6D2E23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79- Transfert de charges</w:t>
            </w: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870529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fr-FR"/>
              </w:rPr>
              <w:t>TOTAL DES CHARGES PREVISIONNELLES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3492" w:rsidRPr="006D2E23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  <w:t>3780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fr-FR"/>
              </w:rPr>
              <w:t>TOTAL DES PRODUITS PREVISIONNELS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3492" w:rsidRPr="006D2E23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  <w:t>3780</w:t>
            </w:r>
          </w:p>
        </w:tc>
      </w:tr>
      <w:tr w:rsidR="00603492" w:rsidRPr="009B2549" w:rsidTr="00870529">
        <w:trPr>
          <w:trHeight w:val="36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right="-68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86- Emplois des contributions volontaires en 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120" w:line="340" w:lineRule="exact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  <w:t>87 - Contributions volontaires en nature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120" w:line="340" w:lineRule="exact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color w:val="366092"/>
                <w:szCs w:val="20"/>
                <w:lang w:eastAsia="fr-FR"/>
              </w:rPr>
            </w:pP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39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550</w:t>
            </w: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250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39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250</w:t>
            </w:r>
          </w:p>
        </w:tc>
      </w:tr>
      <w:tr w:rsidR="00603492" w:rsidRPr="009B2549" w:rsidTr="006D2E23">
        <w:trPr>
          <w:trHeight w:val="264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550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1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9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139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fr-FR"/>
              </w:rPr>
            </w:pPr>
          </w:p>
        </w:tc>
      </w:tr>
      <w:tr w:rsidR="00603492" w:rsidRPr="009B2549" w:rsidTr="00870529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  <w:t>TOTAL DES CHARGES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3492" w:rsidRPr="006D2E23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fr-FR"/>
              </w:rPr>
              <w:t>4580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03492" w:rsidRPr="009B2549" w:rsidRDefault="00603492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09"/>
              <w:jc w:val="both"/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</w:pPr>
            <w:r w:rsidRPr="009B2549">
              <w:rPr>
                <w:rFonts w:ascii="Arial Narrow" w:eastAsia="Times New Roman" w:hAnsi="Arial Narrow" w:cs="Arial"/>
                <w:b/>
                <w:bCs/>
                <w:szCs w:val="20"/>
                <w:lang w:eastAsia="fr-FR"/>
              </w:rPr>
              <w:t>TOTAL DES PRODUITS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03492" w:rsidRPr="006D2E23" w:rsidRDefault="00D93533" w:rsidP="006D2E23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72"/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4580</w:t>
            </w:r>
          </w:p>
        </w:tc>
      </w:tr>
    </w:tbl>
    <w:p w:rsidR="00E054CF" w:rsidRDefault="00E054CF" w:rsidP="002D0F85">
      <w:pPr>
        <w:spacing w:after="0"/>
      </w:pPr>
    </w:p>
    <w:p w:rsidR="00603492" w:rsidRPr="00CE60A8" w:rsidRDefault="00603492" w:rsidP="002D0F85">
      <w:pPr>
        <w:pStyle w:val="Paragraphedeliste"/>
        <w:numPr>
          <w:ilvl w:val="0"/>
          <w:numId w:val="1"/>
        </w:numPr>
        <w:spacing w:before="0" w:after="0" w:line="240" w:lineRule="auto"/>
        <w:rPr>
          <w:rFonts w:asciiTheme="minorHAnsi" w:hAnsiTheme="minorHAnsi"/>
          <w:sz w:val="16"/>
          <w:szCs w:val="16"/>
          <w:lang w:eastAsia="en-US"/>
        </w:rPr>
      </w:pPr>
      <w:r w:rsidRPr="00CE60A8">
        <w:rPr>
          <w:rFonts w:asciiTheme="minorHAnsi" w:hAnsiTheme="minorHAnsi"/>
          <w:sz w:val="16"/>
          <w:szCs w:val="16"/>
          <w:lang w:eastAsia="en-US"/>
        </w:rPr>
        <w:t>: Ne pa</w:t>
      </w:r>
      <w:r w:rsidR="00B66FF2">
        <w:rPr>
          <w:rFonts w:asciiTheme="minorHAnsi" w:hAnsiTheme="minorHAnsi"/>
          <w:sz w:val="16"/>
          <w:szCs w:val="16"/>
          <w:lang w:eastAsia="en-US"/>
        </w:rPr>
        <w:t>s indiquer les centimes d’euros (Montants prévisionnels)</w:t>
      </w:r>
    </w:p>
    <w:p w:rsidR="00A8432D" w:rsidRDefault="002D0F85" w:rsidP="002D0F85">
      <w:pPr>
        <w:spacing w:after="0"/>
        <w:ind w:firstLine="708"/>
        <w:rPr>
          <w:color w:val="FF0000"/>
        </w:rPr>
      </w:pPr>
      <w:r>
        <w:rPr>
          <w:rFonts w:ascii="Arial Narrow" w:eastAsia="Times New Roman" w:hAnsi="Arial Narrow" w:cs="Arial"/>
          <w:b/>
          <w:bCs/>
          <w:i/>
          <w:color w:val="FF0000"/>
          <w:sz w:val="20"/>
          <w:szCs w:val="20"/>
          <w:lang w:eastAsia="fr-FR"/>
        </w:rPr>
        <w:t>*</w:t>
      </w:r>
      <w:r w:rsidR="00A8432D" w:rsidRPr="002D0F85">
        <w:rPr>
          <w:color w:val="FF0000"/>
        </w:rPr>
        <w:t>Temps à détailler obligatoirement</w:t>
      </w:r>
    </w:p>
    <w:p w:rsidR="002D0F85" w:rsidRPr="002D0F85" w:rsidRDefault="006D2E23" w:rsidP="002D0F85">
      <w:pPr>
        <w:spacing w:after="0"/>
        <w:ind w:firstLine="708"/>
        <w:rPr>
          <w:color w:val="FF0000"/>
        </w:rPr>
      </w:pPr>
      <w:r>
        <w:rPr>
          <w:noProof/>
          <w:color w:val="FF0000"/>
          <w:lang w:eastAsia="fr-FR"/>
        </w:rPr>
        <w:drawing>
          <wp:anchor distT="0" distB="0" distL="114300" distR="114300" simplePos="0" relativeHeight="251658240" behindDoc="0" locked="0" layoutInCell="1" allowOverlap="1" wp14:anchorId="2A78E611" wp14:editId="7B1EED1E">
            <wp:simplePos x="0" y="0"/>
            <wp:positionH relativeFrom="column">
              <wp:posOffset>-585470</wp:posOffset>
            </wp:positionH>
            <wp:positionV relativeFrom="paragraph">
              <wp:posOffset>181610</wp:posOffset>
            </wp:positionV>
            <wp:extent cx="433705" cy="381635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road_sign_A14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3370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736" w:rsidRPr="002D0F85" w:rsidRDefault="00A8432D" w:rsidP="0030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after="0" w:line="240" w:lineRule="auto"/>
        <w:rPr>
          <w:rFonts w:cs="Arial"/>
          <w:b/>
          <w:bCs/>
          <w:i/>
          <w:color w:val="FF0000"/>
          <w:sz w:val="24"/>
          <w:szCs w:val="24"/>
        </w:rPr>
      </w:pPr>
      <w:r w:rsidRPr="002D0F85">
        <w:rPr>
          <w:rFonts w:cs="Arial"/>
          <w:b/>
          <w:bCs/>
          <w:i/>
          <w:color w:val="FF0000"/>
          <w:sz w:val="24"/>
          <w:szCs w:val="24"/>
        </w:rPr>
        <w:t>Le budget doit être présenté à l’équilibre</w:t>
      </w:r>
    </w:p>
    <w:p w:rsidR="00A8432D" w:rsidRPr="002D0F85" w:rsidRDefault="00307736" w:rsidP="00307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spacing w:after="0" w:line="240" w:lineRule="auto"/>
        <w:rPr>
          <w:rFonts w:cs="Arial"/>
          <w:b/>
          <w:bCs/>
          <w:i/>
          <w:color w:val="FF0000"/>
          <w:sz w:val="24"/>
          <w:szCs w:val="24"/>
        </w:rPr>
      </w:pPr>
      <w:r w:rsidRPr="002D0F85">
        <w:rPr>
          <w:rFonts w:cs="Arial"/>
          <w:b/>
          <w:bCs/>
          <w:i/>
          <w:color w:val="FF0000"/>
          <w:sz w:val="24"/>
          <w:szCs w:val="24"/>
        </w:rPr>
        <w:t>C’est</w:t>
      </w:r>
      <w:r w:rsidR="00A8432D" w:rsidRPr="002D0F85">
        <w:rPr>
          <w:rFonts w:cs="Arial"/>
          <w:b/>
          <w:bCs/>
          <w:i/>
          <w:color w:val="FF0000"/>
          <w:sz w:val="24"/>
          <w:szCs w:val="24"/>
        </w:rPr>
        <w:t>- à-dire que le total des charges doit être égal au total des produits</w:t>
      </w:r>
    </w:p>
    <w:sectPr w:rsidR="00A8432D" w:rsidRPr="002D0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4645"/>
    <w:multiLevelType w:val="hybridMultilevel"/>
    <w:tmpl w:val="34505616"/>
    <w:lvl w:ilvl="0" w:tplc="537407E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2D21F8"/>
    <w:multiLevelType w:val="hybridMultilevel"/>
    <w:tmpl w:val="02B06F30"/>
    <w:lvl w:ilvl="0" w:tplc="5232D050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35"/>
    <w:rsid w:val="00096335"/>
    <w:rsid w:val="002D0F85"/>
    <w:rsid w:val="00307736"/>
    <w:rsid w:val="004A3372"/>
    <w:rsid w:val="00603492"/>
    <w:rsid w:val="006D2E23"/>
    <w:rsid w:val="00870529"/>
    <w:rsid w:val="0090634B"/>
    <w:rsid w:val="009B2549"/>
    <w:rsid w:val="009B61E4"/>
    <w:rsid w:val="00A15722"/>
    <w:rsid w:val="00A8432D"/>
    <w:rsid w:val="00B66FF2"/>
    <w:rsid w:val="00C15DC1"/>
    <w:rsid w:val="00D93533"/>
    <w:rsid w:val="00DA4217"/>
    <w:rsid w:val="00E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03492"/>
    <w:pPr>
      <w:overflowPunct w:val="0"/>
      <w:autoSpaceDE w:val="0"/>
      <w:autoSpaceDN w:val="0"/>
      <w:adjustRightInd w:val="0"/>
      <w:spacing w:before="60" w:after="120" w:line="340" w:lineRule="exact"/>
      <w:ind w:left="720"/>
      <w:contextualSpacing/>
      <w:jc w:val="both"/>
      <w:textAlignment w:val="baseline"/>
    </w:pPr>
    <w:rPr>
      <w:rFonts w:ascii="Arial Narrow" w:eastAsia="Times New Roman" w:hAnsi="Arial Narrow" w:cs="Times New Roman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03492"/>
    <w:rPr>
      <w:rFonts w:ascii="Arial Narrow" w:eastAsia="Times New Roman" w:hAnsi="Arial Narrow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4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03492"/>
    <w:pPr>
      <w:overflowPunct w:val="0"/>
      <w:autoSpaceDE w:val="0"/>
      <w:autoSpaceDN w:val="0"/>
      <w:adjustRightInd w:val="0"/>
      <w:spacing w:before="60" w:after="120" w:line="340" w:lineRule="exact"/>
      <w:ind w:left="720"/>
      <w:contextualSpacing/>
      <w:jc w:val="both"/>
      <w:textAlignment w:val="baseline"/>
    </w:pPr>
    <w:rPr>
      <w:rFonts w:ascii="Arial Narrow" w:eastAsia="Times New Roman" w:hAnsi="Arial Narrow" w:cs="Times New Roman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03492"/>
    <w:rPr>
      <w:rFonts w:ascii="Arial Narrow" w:eastAsia="Times New Roman" w:hAnsi="Arial Narrow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DPT49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delaune, marion</dc:creator>
  <cp:lastModifiedBy>GUERINEAU FAMILY</cp:lastModifiedBy>
  <cp:revision>3</cp:revision>
  <cp:lastPrinted>2018-12-18T10:22:00Z</cp:lastPrinted>
  <dcterms:created xsi:type="dcterms:W3CDTF">2019-02-20T15:53:00Z</dcterms:created>
  <dcterms:modified xsi:type="dcterms:W3CDTF">2019-02-20T15:56:00Z</dcterms:modified>
</cp:coreProperties>
</file>